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166 BRAO — Vorschlagslisten für die Wahl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Wahl findet auf Grund von Vorschlagslisten statt.</w:t>
      </w:r>
    </w:p>
    <w:p>
      <w:r>
        <w:t xml:space="preserve">(2) Vorschlagslisten können einreichen</w:t>
      </w:r>
    </w:p>
    <w:p>
      <w:pPr>
        <w:ind w:left="780"/>
      </w:pPr>
      <w:r>
        <w:t xml:space="preserve">1. die Bundesrechtsanwaltskammer auf Grund von Vorschlägen der Rechtsanwaltskammern,</w:t>
      </w:r>
    </w:p>
    <w:p>
      <w:pPr>
        <w:ind w:left="780"/>
      </w:pPr>
      <w:r>
        <w:t xml:space="preserve">2. die Rechtsanwaltskammer bei dem Bundesgerichtshof.</w:t>
      </w:r>
    </w:p>
    <w:p>
      <w:r>
        <w:t xml:space="preserve">(3) In die Vorschlagslisten kann nur aufgenommen werden, wer das fünfunddreißigste Lebensjahr vollendet hat und den Beruf des Rechtsanwalts seit mindestens fünf Jahren ohne Unterbrechung ausübt.</w:t>
      </w:r>
    </w:p>
    <w:p>
      <w:r>
        <w:rPr>
          <w:color w:val="555555"/>
          <w:sz w:val="17"/>
        </w:rPr>
        <w:t xml:space="preserve">Zitiervorschlag: § 166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