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159b BRAO — Prüfung der Fortdauer des Verbots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In den Fällen des § 159a legt das Anwaltsgericht die Akten durch Vermittlung der Staatsanwaltschaft dem Anwaltsgerichtshof zur Entscheidung vor, wenn es die Fortdauer des Verbotes für erforderlich hält oder die Staatsanwaltschaft es beantragt.</w:t>
      </w:r>
    </w:p>
    <w:p>
      <w:r>
        <w:t xml:space="preserve">(2) Vor der Entscheidung des Anwaltsgerichtshofes ist das Mitglied der Rechtsanwaltskammer zu hören.</w:t>
      </w:r>
    </w:p>
    <w:p>
      <w:r>
        <w:t xml:space="preserve">(3) Die Prüfung der Fortdauer des Verbotes muß jeweils spätestens nach drei Monaten von dem Anwaltsgerichtshof wiederholt werden, solange das anwaltsgerichtliche Verfahren noch nicht eingeleitet ist.</w:t>
      </w:r>
    </w:p>
    <w:p>
      <w:r>
        <w:rPr>
          <w:color w:val="555555"/>
          <w:sz w:val="17"/>
        </w:rPr>
        <w:t xml:space="preserve">Zitiervorschlag: § 159b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https://recht.nulegal.eu/gesetze/BRAO/159b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