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159a BRAO — Dreimonatsfrist</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Solange das anwaltsgerichtliche Verfahren noch nicht eingeleitet ist, darf ein Berufs- oder Vertretungsverbot über drei Monate hinaus nur aufrechterhalten werden, wenn die besondere Schwierigkeit oder der besondere Umfang der Ermittlungen oder ein anderer wichtiger Grund die Einleitung des anwaltsgerichtlichen Verfahrens noch nicht zuläßt und die Fortdauer des Verbotes rechtfertigt.</w:t>
      </w:r>
    </w:p>
    <w:p>
      <w:r>
        <w:t xml:space="preserve">(2) In den Fällen des Absatzes 1 ist das Verbot nach Ablauf der drei Monate aufzuheben, wenn der Anwaltsgerichtshof nicht dessen Fortdauer anordnet.</w:t>
      </w:r>
    </w:p>
    <w:p>
      <w:r>
        <w:t xml:space="preserve">(3) Werden die Akten dem Anwaltsgerichtshof vor Ablauf der in Absatz 2 bezeichneten Frist vorgelegt, so ruht der Fristenlauf bis zu dessen Entscheidung.</w:t>
      </w:r>
    </w:p>
    <w:p>
      <w:r>
        <w:rPr>
          <w:color w:val="555555"/>
          <w:sz w:val="17"/>
        </w:rPr>
        <w:t xml:space="preserve">Zitiervorschlag: § 159a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https://recht.nulegal.eu/gesetze/BRAO/159a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