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157 BRAO — Beschwerde</w:t>
      </w:r>
    </w:p>
    <w:p>
      <w:r>
        <w:rPr>
          <w:color w:val="555555"/>
          <w:sz w:val="18"/>
        </w:rPr>
        <w:t xml:space="preserve">Bundesrechtsanwaltsordnung</w:t>
      </w:r>
    </w:p>
    <w:p>
      <w:r>
        <w:rPr>
          <w:color w:val="555555"/>
          <w:sz w:val="18"/>
        </w:rPr>
        <w:t xml:space="preserve">Stand: 10.06.2019 (konsolidierte Textfassung, kein amtliches Inkrafttretensdatum)</w:t>
      </w:r>
    </w:p>
    <w:p>
      <w:r>
        <w:t xml:space="preserve">(1) Gegen den Beschluß, durch den das Anwaltsgericht oder der Anwaltsgerichtshof ein Berufs- oder Vertretungsverbot verhängt, ist die sofortige Beschwerde zulässig. Die Beschwerde hat keine aufschiebende Wirkung.</w:t>
      </w:r>
    </w:p>
    <w:p>
      <w:r>
        <w:t xml:space="preserve">(2) Gegen den Beschluß, durch den das Anwaltsgericht oder der Anwaltsgerichtshof es ablehnt, ein Berufs- oder Vertretungsverbot zu verhängen, steht der Staatsanwaltschaft die sofortige Beschwerde zu.</w:t>
      </w:r>
    </w:p>
    <w:p>
      <w:r>
        <w:t xml:space="preserve">(3) Über die sofortige Beschwerde entscheidet, sofern der angefochtene Beschluß von dem Anwaltsgericht erlassen ist, der Anwaltsgerichtshof und, sofern er vor dem Anwaltsgerichtshof ergangen ist, der Bundesgerichtshof. Für das Verfahren gelten neben den Vorschriften der Strafprozeßordnung über die Beschwerde § 151 Abs. 1, 2 und 4 sowie §§ 152 und 154 dieses Gesetzes entsprechend.</w:t>
      </w:r>
    </w:p>
    <w:p>
      <w:r>
        <w:rPr>
          <w:color w:val="555555"/>
          <w:sz w:val="17"/>
        </w:rPr>
        <w:t xml:space="preserve">Zitiervorschlag: § 157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