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118c BRAO — Anwaltsgerichtliche Verfahren gegen Leitungspersonen und Berufsausübungsgesellschaften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Das anwaltsgerichtliche Verfahren gegen eine Leitungsperson und das anwaltsgerichtliche Verfahren gegen eine Berufsausübungsgesellschaft können miteinander verbunden werden.</w:t>
      </w:r>
    </w:p>
    <w:p>
      <w:r>
        <w:t xml:space="preserve">(2) Von anwaltsgerichtlichen Maßnahmen gegen eine Berufsausübungsgesellschaft kann abgesehen werden, wenn sie unter Berücksichtigung aller Umstände des Einzelfalls, insbesondere der Art der Pflichtverletzung, deren Häufigkeit und Gleichförmigkeit und des Schwerpunkts der Vorwerfbarkeit, neben der Verhängung einer anwaltsgerichtlichen Maßnahme gegen die Leitungsperson nicht erforderlich erscheinen.</w:t>
      </w:r>
    </w:p>
    <w:p>
      <w:r>
        <w:rPr>
          <w:color w:val="555555"/>
          <w:sz w:val="17"/>
        </w:rPr>
        <w:t xml:space="preserve">Zitiervorschlag: § 118c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