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118a BRAO — Verhältnis des anwaltsgerichtlichen Verfahrens zu berufsaufsichtlichen Verfahren nach anderen Berufsgesetzen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Über eine Pflichtverletzung eines Mitglieds der Rechtsanwaltskammer, die zugleich Pflichten eines anderen Berufs verletzt, dessen Berufsaufsicht dieses Mitglied untersteht, ist zunächst im anwaltsgerichtlichen Verfahren zu entscheiden, wenn die Pflichtverletzung überwiegend mit der Ausübung des Berufs des Rechtsanwalts in Zusammenhang steht. Ist kein Schwerpunkt der Pflichtverletzung erkennbar oder besteht kein Zusammenhang der Pflichtverletzung mit der Ausübung eines Berufs, so ist zunächst im anwaltsgerichtlichen Verfahren zu entscheiden, wenn das Mitglied hauptsächlich anwaltlich tätig ist.</w:t>
      </w:r>
    </w:p>
    <w:p>
      <w:r>
        <w:t xml:space="preserve">(2) Kommt eine Maßnahme nach § 114 Absatz 1 Nummer 4 oder 5 oder Absatz 2 Nummer 4 oder 5 in Betracht, ist stets im anwaltsgerichtlichen Verfahren zu entscheiden.</w:t>
      </w:r>
    </w:p>
    <w:p>
      <w:r>
        <w:t xml:space="preserve">(3) Gegenstand der Entscheidung im anwaltsgerichtlichen Verfahren ist nur die Verletzung der dem Mitglied obliegenden anwaltlichen Pflichten.</w:t>
      </w:r>
    </w:p>
    <w:p>
      <w:r>
        <w:rPr>
          <w:color w:val="555555"/>
          <w:sz w:val="17"/>
        </w:rPr>
        <w:t xml:space="preserve">Zitiervorschlag: § 118a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