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BRAO — Stellung der Rechtsanwälte als Beisitzer und Pflicht zur Verschwiegenheit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Rechtsanwälte sind ehrenamtliche Richter. Sie haben in der Sitzung, zu der sie als Beisitzer herangezogen werden, die Stellung eines Berufsrichters.</w:t>
      </w:r>
    </w:p>
    <w:p>
      <w:r>
        <w:t xml:space="preserve">(2) Die Rechtsanwälte haben über Angelegenheiten, die ihnen bei ihrer Tätigkeit als Beisitzer bekannt werden, Verschwiegenheit zu bewahren. § 76 Absatz 1 und 2 ist entsprechend anzuwenden. Die Genehmigung zur Aussage erteilt der Präsident des Bundesgerichtshofes.</w:t>
      </w:r>
    </w:p>
    <w:p>
      <w:r>
        <w:rPr>
          <w:color w:val="555555"/>
          <w:sz w:val="17"/>
        </w:rPr>
        <w:t xml:space="preserve">Zitiervorschlag: § 110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