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BRAO — Voraussetzungen für die Berufung zum Beisitzer und Recht zur Ablehnung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Beisitzer kann nur ein Rechtsanwalt berufen werden, der in den Vorstand der Rechtsanwaltskammer gewählt werden kann (§§ 65, 66). § 94 Abs. 3 Satz 2 gilt entsprechend.</w:t>
      </w:r>
    </w:p>
    <w:p>
      <w:r>
        <w:t xml:space="preserve">(2) Die Übernahme des Beisitzeramtes kann aus den in § 67 angeführten Gründen abgelehnt werden.</w:t>
      </w:r>
    </w:p>
    <w:p>
      <w:r>
        <w:rPr>
          <w:color w:val="555555"/>
          <w:sz w:val="17"/>
        </w:rPr>
        <w:t xml:space="preserve">Zitiervorschlag: § 108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