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BRAO — Geschäftsverteilung und Geschäftsordnung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Geschäftsverteilung bei dem Anwaltsgerichtshof gelten die Vorschriften des Zweiten Titels sowie § 70 Abs. 1 des Gerichtsverfassungsgesetzes entsprechend.</w:t>
      </w:r>
    </w:p>
    <w:p>
      <w:r>
        <w:t xml:space="preserve">(2) Der Geschäftsgang wird durch eine Geschäftsordnung geregelt, die von den Mitgliedern des Anwaltsgerichtshofes zu beschließen ist; sie bedarf der Bestätigung durch die Landesjustizverwaltung.</w:t>
      </w:r>
    </w:p>
    <w:p>
      <w:r>
        <w:rPr>
          <w:color w:val="555555"/>
          <w:sz w:val="17"/>
        </w:rPr>
        <w:t xml:space="preserve">Zitiervorschlag: § 105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