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BRAO — Ernennung von Rechtsanwälten zu Mitgliedern des Anwaltsgerichtshofes</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Die anwaltlichen Mitglieder des Anwaltsgerichtshofes werden von der Landesjustizverwaltung für die Dauer von fünf Jahren ernannt.</w:t>
      </w:r>
    </w:p>
    <w:p>
      <w:r>
        <w:t xml:space="preserve">(2) Für die Ernennung der anwaltlichen Mitglieder des Anwaltsgerichtshofes und deren Stellung gelten die §§ 94 und 95 Absatz 1 entsprechend.</w:t>
      </w:r>
    </w:p>
    <w:p>
      <w:r>
        <w:t xml:space="preserve">(3) Für das Ende des Amtes eines anwaltlichen Mitglieds des Anwaltsgerichtshofes gilt § 95 Abs. 1a Satz 1 und 2 entsprechend mit der Maßgabe, dass keine Mitgliedschaft mehr in einer der Rechtsanwaltskammern im Bezirk der Oberlandesgerichte besteht, für deren Bezirke der Anwaltsgerichtshof errichtet ist.</w:t>
      </w:r>
    </w:p>
    <w:p>
      <w:r>
        <w:t xml:space="preserve">(4) Für die Amtsenthebung und die Entlassung aus dem Amt ist § 95 Abs. 1a Satz 3, Abs. 2 und 3 mit der Maßgabe anzuwenden, dass über die Amtsenthebung ein Senat des Anwaltsgerichtshofes entscheidet, dem das anwaltliche Mitglied nicht angehört.</w:t>
      </w:r>
    </w:p>
    <w:p>
      <w:r>
        <w:t xml:space="preserve">(5) Im Fall des § 100 Absatz 2 soll die jeweilige Zahl der anwaltlichen Mitglieder verhältnismäßig der Mitgliederzahl der einzelnen Rechtsanwaltskammern entsprechen. Die anwaltlichen Mitglieder eines gemeinsamen Anwaltsgerichtshofes, werden aus den Mitgliedern der in den beteiligten Ländern bestehenden Rechtsanwaltskammern nach Maßgabe der von den Ländern getroffenen Vereinbarung (§ 100 Abs. 4) ernannt.</w:t>
      </w:r>
    </w:p>
    <w:p>
      <w:r>
        <w:t xml:space="preserve">(6) Die anwaltlichen Mitglieder erhalten aus der Staatskasse für den mit ihrer Tätigkeit verbundenen Aufwand eine Entschädigung, die sich auf das Eineinhalbfache des in Nummer 7005 der Anlage 1 zum Rechtsanwaltsvergütungsgesetz genannten höchsten Betrages beläuft. Außerdem haben die anwaltlichen Mitglieder Anspruch auf Ersatz ihrer Fahrt- und Übernachtungskosten nach Maßgabe der Nummern 7003, 7004 und 7006 der Anlage 1 zum Rechtsanwaltsvergütungsgesetz.</w:t>
      </w:r>
    </w:p>
    <w:p>
      <w:r>
        <w:rPr>
          <w:color w:val="555555"/>
          <w:sz w:val="17"/>
        </w:rPr>
        <w:t xml:space="preserve">Zitiervorschlag: § 103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