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102 BRAO — Bestellung von Berufsrichtern zu Mitgliedern des Anwaltsgerichtshofes</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(1) Die Mitglieder des Anwaltsgerichtshofes, die Berufsrichter sind, werden von der Landesjustizverwaltung aus der Zahl der ständigen Mitglieder des Oberlandesgerichts für die Dauer von fünf Jahren bestellt. In den Fällen des § 100 Abs. 2 können die Berufsrichter auch aus der Zahl der ständigen Mitglieder der anderen Oberlandesgerichte oder des obersten Landesgerichts bestellt werden.</w:t>
      </w:r>
    </w:p>
    <w:p>
      <w:r>
        <w:t xml:space="preserve">(2) Die Mitglieder eines gemeinsamen Anwaltsgerichtshofes, die Berufsrichter sind, werden aus der Zahl der ständigen Mitglieder der Oberlandesgerichte der beteiligten Länder nach Maßgabe der von den Ländern getroffenen Vereinbarung (§ 100 Abs. 4) bestellt.</w:t>
      </w:r>
    </w:p>
    <w:p>
      <w:r>
        <w:rPr>
          <w:color w:val="555555"/>
          <w:sz w:val="17"/>
        </w:rPr>
        <w:t xml:space="preserve">Zitiervorschlag: § 102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https://recht.nulegal.eu/gesetze/BRAO/102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