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BRüGDV 1</w:t>
      </w:r>
    </w:p>
    <w:p>
      <w:r>
        <w:rPr>
          <w:color w:val="555555"/>
          <w:sz w:val="18"/>
        </w:rPr>
        <w:t xml:space="preserve">Erste Verordnung zur Durchführung des Bundesrückerstattungsgesetzes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29b Abs. 2 und des § 44a Abs. 1 Satz 2, Abs. 5 des Bundesgesetzes zur Regelung der rückerstattungsrechtlichen Geldverbindlichkeiten des Deutschen Reichs und gleichgestellter Rechtsträger (Bundesrückerstattungsgesetz - BRüG) vom 19. Juli 1957 (Bundesgesetzbl. I S. 734), zuletzt geändert durch Gesetz vom 2. Oktober 1964 (Bundesgesetzbl. I S. 809), verordnet die Bundesregierung mit Zustimmung des Bundesrates:</w:t>
      </w:r>
    </w:p>
    <w:p>
      <w:r>
        <w:rPr>
          <w:color w:val="555555"/>
          <w:sz w:val="17"/>
        </w:rPr>
        <w:t xml:space="preserve">Zitiervorschlag: Eingangsformel BRüGDV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https://recht.nulegal.eu/gesetze/BR%C3%BCGDV%201/eingangsformel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