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BRüGDV 1</w:t>
      </w:r>
    </w:p>
    <w:p>
      <w:r>
        <w:rPr>
          <w:color w:val="555555"/>
          <w:sz w:val="18"/>
        </w:rPr>
        <w:t xml:space="preserve">Erste Verordnung zur Durchführung des Bundesrückerstattungsgesetzes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besetzte oder eingegliederte Gebiete im Sinne des § 29b Abs. 1 und des § 44a Abs. 1 BRüG gelten</w:t>
      </w:r>
    </w:p>
    <w:p>
      <w:pPr>
        <w:ind w:left="420"/>
      </w:pPr>
      <w:r>
        <w:t xml:space="preserve">1. die in § 1 genannten Gebiete,</w:t>
      </w:r>
    </w:p>
    <w:p>
      <w:pPr>
        <w:ind w:left="420"/>
      </w:pPr>
      <w:r>
        <w:t xml:space="preserve">2. das Generalgouvernement nach dem Stande vom 1. August 1941 und die eingegliederten Ostgebiete einschließlich der Freien Stadt Danzig,</w:t>
      </w:r>
    </w:p>
    <w:p>
      <w:pPr>
        <w:ind w:left="420"/>
      </w:pPr>
      <w:r>
        <w:t xml:space="preserve">3. die Reichskommissariate Ostland und Ukraine sowie der Bezirk Bialystok,</w:t>
      </w:r>
    </w:p>
    <w:p>
      <w:pPr>
        <w:ind w:left="420"/>
      </w:pPr>
      <w:r>
        <w:t xml:space="preserve">4. das Protektorat Böhmen und Mähren,</w:t>
      </w:r>
    </w:p>
    <w:p>
      <w:pPr>
        <w:ind w:left="420"/>
      </w:pPr>
      <w:r>
        <w:t xml:space="preserve">5. der Bereich des Militärbefehlshabers in Serbien,</w:t>
      </w:r>
    </w:p>
    <w:p>
      <w:pPr>
        <w:ind w:left="420"/>
      </w:pPr>
      <w:r>
        <w:t xml:space="preserve">6. das Königreich Italien,</w:t>
      </w:r>
    </w:p>
    <w:p>
      <w:pPr>
        <w:ind w:left="420"/>
      </w:pPr>
      <w:r>
        <w:t xml:space="preserve">7. das Königreich Griechenland.</w:t>
      </w:r>
    </w:p>
    <w:p>
      <w:r>
        <w:rPr>
          <w:color w:val="555555"/>
          <w:sz w:val="17"/>
        </w:rPr>
        <w:t xml:space="preserve">Zitiervorschlag: § 4 BRüGDV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https://recht.nulegal.eu/gesetze/BR%C3%BCGDV%201/4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BRüGDV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