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BRüGDV 1</w:t>
      </w:r>
    </w:p>
    <w:p>
      <w:r>
        <w:rPr>
          <w:color w:val="555555"/>
          <w:sz w:val="18"/>
        </w:rPr>
        <w:t xml:space="preserve">Erste Verordnung zur Durchführung des Bundesrückerstattungsgesetzes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Beginn des Entziehungszeitraums im Sinne des § 29b Abs. 2 und des § 44a Abs. 1 BRüG kommt in Betracht</w:t>
      </w:r>
    </w:p>
    <w:p>
      <w:pPr>
        <w:ind w:left="420"/>
      </w:pPr>
      <w:r>
        <w:t xml:space="preserve">1. bei den in § 2 Abs. 1 genannten Maßnahmen</w:t>
      </w:r>
    </w:p>
    <w:p>
      <w:pPr>
        <w:ind w:left="780"/>
      </w:pPr>
      <w:r>
        <w:t xml:space="preserve">a) in den in § 1 Nr. 1, 3 und 4 bezeichneten Bereichen der 1. Januar 1942,</w:t>
      </w:r>
    </w:p>
    <w:p>
      <w:pPr>
        <w:ind w:left="780"/>
      </w:pPr>
      <w:r>
        <w:t xml:space="preserve">b) in dem in § 1 Nr. 2 bezeichneten Bereich der 11. November 1942;</w:t>
      </w:r>
    </w:p>
    <w:p>
      <w:pPr>
        <w:ind w:left="420"/>
      </w:pPr>
      <w:r>
        <w:t xml:space="preserve">2. bei den in § 2 Abs. 2 genannten Maßnahmen</w:t>
      </w:r>
    </w:p>
    <w:p>
      <w:pPr>
        <w:ind w:left="780"/>
      </w:pPr>
      <w:r>
        <w:t xml:space="preserve">a) in dem in § 1 Nr. 5 bezeichneten Bereich der 13. Juli 1940,</w:t>
      </w:r>
    </w:p>
    <w:p>
      <w:pPr>
        <w:ind w:left="780"/>
      </w:pPr>
      <w:r>
        <w:t xml:space="preserve">b) in dem in § 1 Nr. 6 bezeichneten Bereich der 6. November 1940.</w:t>
      </w:r>
    </w:p>
    <w:p>
      <w:r>
        <w:t xml:space="preserve">(2) Das Ende des Entziehungszeitraums bestimmt sich nach dem Tage, an dem der Entziehungsort von der deutschen Besatzungsmacht geräumt wurde.</w:t>
      </w:r>
    </w:p>
    <w:p>
      <w:r>
        <w:rPr>
          <w:color w:val="555555"/>
          <w:sz w:val="17"/>
        </w:rPr>
        <w:t xml:space="preserve">Zitiervorschlag: § 3 BRüGDV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https://recht.nulegal.eu/gesetze/BR%C3%BCGDV%201/3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BRüGDV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