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BRüGDV 1</w:t>
      </w:r>
    </w:p>
    <w:p>
      <w:r>
        <w:rPr>
          <w:color w:val="555555"/>
          <w:sz w:val="18"/>
        </w:rPr>
        <w:t xml:space="preserve">Erste Verordnung zur Durchführung des Bundesrückerstattungsgesetzes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Allgemeine Maßnahmen im Sinne des § 29b Abs. 1 und des § 44a Abs. 1 BRüG für die überwiegende Verbringung entzogenen Hausrats in das nach § 5 BRüG maßgebliche Gebiet sind getroffen worden für die in § 1 Nr. 1 bis 4 genannten Bereiche durch die Dienststelle Westen des Reichsministers für die besetzten Ostgebiete - sogenannte M-(Möbel-)Aktion. Darunter fallen auch Entziehungen durch andere Dienststellen des Reichs als die Dienststelle Westen, sofern der Hausrat im Rahmen der M-Aktion aus dem besetzten Gebiet verbracht worden ist.</w:t>
      </w:r>
    </w:p>
    <w:p>
      <w:r>
        <w:t xml:space="preserve">(2) Auf Grund allgemeiner Maßnahmen im Sinne des § 29b Abs. 1 und des § 44a Abs. 1 BRüG überwiegend in das nach § 5 BRüG maßgebliche Gebiet gelangt ist auch der Hausrat, der in den in § 1 Nr. 5 und 6 genannten Bereichen durch den Chef der Zivilverwaltung entzogen und nachweislich an reichsdeutsche Erwerber (Privatpersonen oder Dienststellen) abgegeben wurde.</w:t>
      </w:r>
    </w:p>
    <w:p>
      <w:r>
        <w:rPr>
          <w:color w:val="555555"/>
          <w:sz w:val="17"/>
        </w:rPr>
        <w:t xml:space="preserve">Zitiervorschlag: § 2 BRüGDV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https://recht.nulegal.eu/gesetze/BR%C3%BCGDV%201/2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BRüGDV 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