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7a BRüG</w:t>
      </w:r>
    </w:p>
    <w:p>
      <w:r>
        <w:rPr>
          <w:color w:val="555555"/>
          <w:sz w:val="18"/>
        </w:rPr>
        <w:t xml:space="preserve">Bundesrückerstattungsgesetz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Verfahren über rückerstattungsrechtliche Ansprüche (§§ 1, 3) soll von der Vorlage eines Erbscheins abgesehen werden, wenn die Erbberechtigung auch ohne Vorlage eines Erbscheins nachweisbar ist.</w:t>
      </w:r>
    </w:p>
    <w:p>
      <w:r>
        <w:t xml:space="preserve">(2) Verlangt ein Wiedergutmachungsorgan die Vorlage eines Erbscheins, so hat das Nachlaßgericht auf Antrag des Berechtigten einen Erbschein für den Rückerstattungsanspruch zu erteilen. Soweit nach einer der in § 11 Nr. 1 Buchstaben a, b und d genannten Rechtsvorschriften zur Rückerstattung feststellbarer Vermögensgegenstände eine Todesvermutung eingreift oder ein anderer Zeitpunkt des Todes festgestellt worden ist, ist diese Vermutung oder Feststellung für die Erteilung eines solchen Erbscheins maßgebend.</w:t>
      </w:r>
    </w:p>
    <w:p>
      <w:r>
        <w:t xml:space="preserve">(3) Die Erteilung des Erbscheins für den Rückerstattungsanspruch einschließlich des vorausgegangenen Verfahrens ist gebühren- und auslagenfrei. Dies gilt nicht für die Abnahme der eidesstattlichen Versicherung nach § 352 Absatz 3 Satz 3 des Gesetzes über das Verfahren in Familiensachen und in den Angelegenheiten der freiwilligen Gerichtsbarkeit.</w:t>
      </w:r>
    </w:p>
    <w:p>
      <w:r>
        <w:rPr>
          <w:color w:val="555555"/>
          <w:sz w:val="17"/>
        </w:rPr>
        <w:t xml:space="preserve">Zitiervorschlag: § 7a BRüG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https://recht.nulegal.eu/gesetze/BR%C3%BCG/7a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