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Ansprüche nach diesem Gesetz werden nicht befriedigt, solange der Berechtigte seinen Wohnsitz oder dauernden Aufenthalt in Gebieten hat, mit deren Regierungen die Bundesrepublik Deutschland keine diplomatischen Beziehungen unterhält.</w:t>
      </w:r>
    </w:p>
    <w:p>
      <w:r>
        <w:t xml:space="preserve">(2) Die Bundesregierung kann bestimmen, welche Staaten, mit deren Regierungen die Bundesrepublik Deutschland keine diplomatischen Beziehungen unterhält, behandelt werden, als ob mit ihnen diplomatische Beziehungen unterhalten würden.</w:t>
      </w:r>
    </w:p>
    <w:p>
      <w:r>
        <w:rPr>
          <w:color w:val="555555"/>
          <w:sz w:val="17"/>
        </w:rPr>
        <w:t xml:space="preserve">Zitiervorschlag: § 45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BRüG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