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Natürlichen Personen, denen im Geltungsbereich dieses Gesetzes feststellbare Vermögensgegenstände durch einen der in § 1 genannten Rechtsträger entzogen worden sind, kann auf Antrag zur Milderung einer auf der Entziehung beruhenden Notlage ein Härteausgleich gewährt werden.</w:t>
      </w:r>
    </w:p>
    <w:p>
      <w:r>
        <w:t xml:space="preserve">(2) Das gleiche gilt für juristische Personen und ihre Rechtsnachfolger, soweit sie gemeinnützig im Sinne der Gemeinnützigkeitsverordnung sind und der Härteausgleich zur Erfüllung ihrer Aufgaben im Geltungsbereich dieses Gesetzes erforderlich ist.</w:t>
      </w:r>
    </w:p>
    <w:p>
      <w:r>
        <w:t xml:space="preserve">(3) Die Härteleistungen nach den Absätzen 1 und 2 dürfen insgesamt einen Betrag von 10 Millionen Deutsche Mark nicht übersteigen.</w:t>
      </w:r>
    </w:p>
    <w:p>
      <w:r>
        <w:t xml:space="preserve">(4) Anträge nach Absatz 1 sind bis zum 1. April 1959, Anträge nach Absatz 2 sind bis zum 8. Oktober 1965 bei dem Bundesamt für zentrale Dienste und offene Vermögensfragen zu stellen.</w:t>
      </w:r>
    </w:p>
    <w:p>
      <w:r>
        <w:rPr>
          <w:color w:val="555555"/>
          <w:sz w:val="17"/>
        </w:rPr>
        <w:t xml:space="preserve">Zitiervorschlag: § 44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