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BRüG</w:t>
      </w:r>
    </w:p>
    <w:p>
      <w:r>
        <w:rPr>
          <w:color w:val="555555"/>
          <w:sz w:val="18"/>
        </w:rPr>
        <w:t xml:space="preserve">Bundesrückerstattungsgesetz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Zahlung erfolgt unverzüglich nach Zustellung des Bescheids in Höhe der nach diesem Bescheid fälligen Beträge.</w:t>
      </w:r>
    </w:p>
    <w:p>
      <w:r>
        <w:rPr>
          <w:color w:val="555555"/>
          <w:sz w:val="17"/>
        </w:rPr>
        <w:t xml:space="preserve">Zitiervorschlag: § 43 BRüG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https://recht.nulegal.eu/gesetze/BR%C3%BCG/43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