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Innerhalb einer Frist von drei Monaten nach Zustellung des Bescheids kann der Berechtigte gerichtliche Entscheidung beantragen; der Antrag kann insbesondere darauf gestützt werden, daß in dem Bescheid die Aufteilung des Geldbetrags gemäß § 32 unzutreffend vorgenommen oder, falls vor Inkrafttreten dieses Gesetzes eine gerichtliche Entscheidung rechtskräftig oder eine gütliche Einigung rechtsgültig geworden ist (§ 14 Abs. 1), die Höhe des geschuldeten Geldbetrags im Bescheid unzutreffend festgesetzt ist. Wohnt der Berechtigte im Ausland, so tritt an die Stelle der Frist von drei Monaten eine Frist von sechs Monaten.</w:t>
      </w:r>
    </w:p>
    <w:p>
      <w:r>
        <w:t xml:space="preserve">(2) Die Fristen nach Absatz 1 sind Notfristen und beginnen mit der Zustellung des Bescheids, sofern dieser die Belehrung über den Rechtsbehelf nach § 39 Abs. 1 Nr. 13 enthält.</w:t>
      </w:r>
    </w:p>
    <w:p>
      <w:r>
        <w:t xml:space="preserve">(3) Im Geltungsbereich der in § 11 Nr. 1 Buchstaben a, b und d genannten Rechtsvorschriften ist der Antrag an die Wiedergutmachungskammer des zuständigen Landgerichts zu richten. Im Geltungsbereich der in § 11 Nr. 1 Buchstabe c genannten Rechtsvorschriften ist die Klage bei der Restitutionskammer des zuständigen Landgerichts einzureichen.</w:t>
      </w:r>
    </w:p>
    <w:p>
      <w:r>
        <w:t xml:space="preserve">(4) Zuständig ist das Landgericht, das in dem vorangegangenen Rückerstattungsverfahren zuständig gewesen ist oder gewesen wäre. Ist dieses Landgericht für Rückerstattungsverfahren nicht mehr zuständig, so tritt an seine Stelle das Landgericht, auf das seine Zuständigkeit übergegangen ist.</w:t>
      </w:r>
    </w:p>
    <w:p>
      <w:r>
        <w:t xml:space="preserve">(5) Auf das Verfahren finden die Rechtsvorschriften zur Rückerstattung feststellbarer Vermögensgegenstände (§ 11 Nr. 1) Anwendung. Ein Anwaltszwang besteht nicht.</w:t>
      </w:r>
    </w:p>
    <w:p>
      <w:r>
        <w:rPr>
          <w:color w:val="555555"/>
          <w:sz w:val="17"/>
        </w:rPr>
        <w:t xml:space="preserve">Zitiervorschlag: § 42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