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BRüG</w:t>
      </w:r>
    </w:p>
    <w:p>
      <w:r>
        <w:rPr>
          <w:color w:val="555555"/>
          <w:sz w:val="18"/>
        </w:rPr>
        <w:t xml:space="preserve">Bundesrückerstattungsgesetz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Den rückerstattungsrechtlichen Ansprüchen gegen die in § 1 genannten Rechtsträger werden rückerstattungsrechtliche Ansprüche gleichgestellt, die sich nur auf Grund von Vermögens- oder Aufgabennachfolge nach den in § 1 genannten Rechtsträgern gegen den Bund oder einen anderen öffentlichen Rechtsträger richten könnten.</w:t>
      </w:r>
    </w:p>
    <w:p>
      <w:r>
        <w:rPr>
          <w:color w:val="555555"/>
          <w:sz w:val="17"/>
        </w:rPr>
        <w:t xml:space="preserve">Zitiervorschlag: § 3 BRüG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https://recht.nulegal.eu/gesetze/BR%C3%BCG/3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BRüG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