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BRüG</w:t>
      </w:r>
    </w:p>
    <w:p>
      <w:r>
        <w:rPr>
          <w:color w:val="555555"/>
          <w:sz w:val="18"/>
        </w:rPr>
        <w:t xml:space="preserve">Bundesrückerstattungsgesetz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in § 1 genannter Rechtsträger ist im Sinne der in § 11 Nr. 1 Buchstabe a genannten Rechtsvorschriften in bezug auf einen feststellbaren Vermögensgegenstand rückerstattungspflichtig, wenn er sich entgegen rechtsstaatlichen Grundsätzen das Eigentum, die Eigentümerstellung, den Besitz oder die Verfügungsmacht verschafft oder angemaßt hat.</w:t>
      </w:r>
    </w:p>
    <w:p>
      <w:r>
        <w:t xml:space="preserve">(2) Ein in § 1 genannter Rechtsträger ist im Sinne des Absatzes 1 insbesondere dann rückerstattungspflichtig, wenn er dem Verfolgten auferlegt hat, den feststellbaren Vermögensgegenstand an einen bestimmten Erwerber oder an eine Vielzahl bestimmter Erwerber zu veräußern.</w:t>
      </w:r>
    </w:p>
    <w:p>
      <w:r>
        <w:t xml:space="preserve">(3) Die Rückerstattungspflicht eines der in § 1 genannten Rechtsträger im Sinne der Absätze 1 und 2 wird nicht dadurch ausgeschlossen, daß der Verfolgte durch Verfolgungsmaßnahmen gezwungen wurde, an der Veräußerung des feststellbaren Vermögensgegenstandes mitzuwirken.</w:t>
      </w:r>
    </w:p>
    <w:p>
      <w:r>
        <w:t xml:space="preserve">(4) Ein in § 1 genannter Rechtsträger ist im Sinne der Absätze 1 und 2 nicht schon dann rückerstattungspflichtig, wenn der Verfolgte einen feststellbaren Vermögensgegenstand veräußert hat, um rechtswidrige Sonderabgaben bezahlen oder einen Vermögenstransfer durchführen zu können.</w:t>
      </w:r>
    </w:p>
    <w:p>
      <w:r>
        <w:t xml:space="preserve">(5) Sind im Geltungsbereich der in § 11 Nr. 1 Buchstaben b und c genannten Rechtsvorschriften feststellbare Vermögensgegenstände von einem der in § 1 genannten Rechtsträger entzogen worden, so ist dieser Rechtsträger schadensersatzpflichtig, wenn die Gegenstände verloren gegangen, beschädigt, oder in ihrem Wert vermindert worden sind; § 848 des Bürgerlichen Gesetzbuches findet Anwendung. Das gleiche gilt, wenn feststellbare Vermögensgegenstände von einem der in § 1 genannten Rechtsträger entzogen worden und nachweislich in den Geltungsbereich der in § 11 Nr. 1 Buchstaben b und c genannten Rechtsvorschriften gelangt sind.</w:t>
      </w:r>
    </w:p>
    <w:p>
      <w:r>
        <w:rPr>
          <w:color w:val="555555"/>
          <w:sz w:val="17"/>
        </w:rPr>
        <w:t xml:space="preserve">Zitiervorschlag: § 2a BRüG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https://recht.nulegal.eu/gesetze/BR%C3%BCG/2a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