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29b BRüG</w:t>
      </w:r>
    </w:p>
    <w:p>
      <w:r>
        <w:rPr>
          <w:color w:val="555555"/>
          <w:sz w:val="18"/>
        </w:rPr>
        <w:t xml:space="preserve">Bundesrückerstattungsgesetz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Ist ein rückerstattungsrechtlicher Anspruch (§§ 1, 3) wegen der Entziehung von Hausrat in den ehemals besetzten Westgebieten oder wegen der Entziehung von Schmuck- und Edelmetallgegenständen in den ehemals besetzten oder eingegliederten Gebieten rechtskräftig zurückgewiesen oder zurückgenommen worden, weil nicht nachzuweisen war, daß die entzogenen Vermögensgegenstände in den nach § 5 maßgeblichen Bereich gelangt sind, kann der Anspruch erneut im Rückerstattungsverfahren geltend gemacht werden, wenn solche Vermögensgegenstände auf Grund allgemeiner Maßnahmen aus dem Entziehungsgebiet ganz oder überwiegend in den nach § 5 maßgeblichen Bereich gelangt sind.</w:t>
      </w:r>
    </w:p>
    <w:p>
      <w:r>
        <w:t xml:space="preserve">(2) Die in Absatz 1 genannten allgemeinen Maßnahmen und die Entziehungsgebiete und Entziehungszeiträume, für die sie getroffen wurden, werden durch Rechtsverordnung der Bundesregierung, die der Zustimmung des Bundesrates bedarf, bezeichnet.</w:t>
      </w:r>
    </w:p>
    <w:p>
      <w:r>
        <w:t xml:space="preserve">(3) Der Anspruch ist innerhalb eines Jahres nach Inkrafttreten der in Absatz 2 genannten Rechtsverordnung geltend zu machen. § 27 Abs. 4 und § 28 Abs. 4 finden entsprechende Anwendung.</w:t>
      </w:r>
    </w:p>
    <w:p>
      <w:r>
        <w:t xml:space="preserve">(4) Durch Rechtsverordnung der Bundesregierung, die der Zustimmung des Bundesrates bedarf, kann bestimmt werden, daß Absätze 1 bis 3 entsprechend auch für andere als die in Absatz 1 genannten Gegenstände Anwendung finden, wenn solche Gegenstände auf Grund allgemeiner Maßnahmen ganz oder überwiegend in den nach § 5 maßgeblichen Bereich gelangt sind.</w:t>
      </w:r>
    </w:p>
    <w:p>
      <w:r>
        <w:t xml:space="preserve">(5) Rechtsverordnungen nach den Absätzen 2 und 4 können nur bis zum 31. Dezember 1965 erlassen werden.</w:t>
      </w:r>
    </w:p>
    <w:p>
      <w:r>
        <w:rPr>
          <w:color w:val="555555"/>
          <w:sz w:val="17"/>
        </w:rPr>
        <w:t xml:space="preserve">Zitiervorschlag: § 29b BRüG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https://recht.nulegal.eu/gesetze/BR%C3%BCG/29b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