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Geltungsbereich der in § 11 Nr. 1 Buchstaben a, b und d genannten Rechtsvorschriften sind Ansprüche nach § 13 von dem Berechtigten bei dem zuständigen Zentralanmeldeamt anzumelden.</w:t>
      </w:r>
    </w:p>
    <w:p>
      <w:r>
        <w:t xml:space="preserve">(2) Die Anmeldung muß bis zum 1. April 1959 bei dem zuständigen Zentralanmeldeamt eingegangen sein.</w:t>
      </w:r>
    </w:p>
    <w:p>
      <w:r>
        <w:t xml:space="preserve">(3) Die Frist des Absatzes 2 gilt als gewahrt, wenn der Berechtigte bis zum 1. April 1959 den Anspruch bei einem nach Absatz 1 unzuständigen Zentralanmeldeamt angemeldet oder durch Klage vor der Restitutionskammer eines unzuständigen Landgerichts geltend gemacht hat.</w:t>
      </w:r>
    </w:p>
    <w:p>
      <w:r>
        <w:t xml:space="preserve">(4) Auf das Verfahren bei der Anmeldung und das weitere Verfahren finden die Rechtsvorschriften zur Rückerstattung feststellbarer Vermögensgegenstände (§ 11 Nr. 1 Buchstaben a, b und d) Anwendung.</w:t>
      </w:r>
    </w:p>
    <w:p>
      <w:r>
        <w:rPr>
          <w:color w:val="555555"/>
          <w:sz w:val="17"/>
        </w:rPr>
        <w:t xml:space="preserve">Zitiervorschlag: § 27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