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 BRüG</w:t>
      </w:r>
    </w:p>
    <w:p>
      <w:r>
        <w:rPr>
          <w:color w:val="555555"/>
          <w:sz w:val="18"/>
        </w:rPr>
        <w:t xml:space="preserve">Bundesrückerstattungsgesetz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Läßt sich der Wiederbeschaffungswert des entzogenen Vermögensgegenstandes am 1. April 1956 nicht ermitteln oder liegt er unter dem im Verhältnis 10:1 in Deutsche Mark umgerechneten Wert des Vermögensgegenstandes im Zeitpunkt der Entziehung, so gilt der im Verhältnis 10:1 in Deutsche Mark umgerechnete Wert des Vermögensgegenstandes im Zeitpunkt der Entziehung als Schadensersatzbetrag.</w:t>
      </w:r>
    </w:p>
    <w:p>
      <w:r>
        <w:t xml:space="preserve">(2) § 16 Abs. 2 findet entsprechende Anwendung. Dies gilt nicht, soweit der Schadensersatzbetrag nach Absatz 1 sich aus den entgangenen Nutzungen oder Zinsen oder sonstigen geldwerten Vorteilen errechnet.</w:t>
      </w:r>
    </w:p>
    <w:p>
      <w:r>
        <w:rPr>
          <w:color w:val="555555"/>
          <w:sz w:val="17"/>
        </w:rPr>
        <w:t xml:space="preserve">Zitiervorschlag: § 17 BRüG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https://recht.nulegal.eu/gesetze/BR%C3%BCG/17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