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Rückerstattungsrechtliche Schadensersatzansprüche sind auf Ersatzleistung in Deutscher Mark gerichtet, auch wenn sie nach den Vorschriften des bürgerlichen Rechts auf Herstellung des Zustandes gerichtet sind, der bestehen würde, wenn der zum Ersatz verpflichtende Umstand nicht eingetreten wäre. Bei der Bemessung der Höhe des Schadensersatzbetrags ist der Wiederbeschaffungswert des entzogenen Vermögensgegenstandes im Geltungsbereich dieses Gesetzes zugrunde zu legen. Maßgebend ist der Wiederbeschaffungswert am 1. April 1956; sind Sachen entzogen worden, so ist deren Zustand im Zeitpunkt der Entziehung zu berücksichtigen.</w:t>
      </w:r>
    </w:p>
    <w:p>
      <w:r>
        <w:t xml:space="preserve">(2) Für Vorteile, die der Gebrauch des entzogenen Vermögensgegenstandes gewährt hätte, wird ein Ersatz nicht geleistet. Sind sonstige Nutzungen oder Zinsen oder sonstige geldwerte Vorteile entgangen, so wird dem Schadensersatzbetrag nach Absatz 1 ein Betrag von 25 vom Hundert hinzugerechnet; der Zuschlag von 25 vom Hundert ermäßigt sich auf 10 vom Hundert, wenn Nutzungen oder sonstige geldwerte Vorteile entzogener Aktien oder sonstiger Beteiligungen entgangen sind.</w:t>
      </w:r>
    </w:p>
    <w:p>
      <w:r>
        <w:rPr>
          <w:color w:val="555555"/>
          <w:sz w:val="17"/>
        </w:rPr>
        <w:t xml:space="preserve">Zitiervorschlag: § 16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