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BRÜGSaarG</w:t>
      </w:r>
    </w:p>
    <w:p>
      <w:r>
        <w:rPr>
          <w:color w:val="555555"/>
          <w:sz w:val="18"/>
        </w:rPr>
        <w:t xml:space="preserve">Bundesgesetz zur Einführung des Bundesgesetzes zur Regelung der rückerstattungsrechtlichen Geldverbindlichkeiten des Deutschen Reichs und gleichgestellter Rechtsträger (Bundesrückerstattungsgesetz - BRüG)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BRÜGSaarG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https://recht.nulegal.eu/gesetze/BR%C3%9CGSaarG/eingangsformel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