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BQFG — Form der Entscheidung</w:t>
      </w:r>
    </w:p>
    <w:p>
      <w:r>
        <w:rPr>
          <w:color w:val="555555"/>
          <w:sz w:val="18"/>
        </w:rPr>
        <w:t xml:space="preserve">Berufsqualifikationsfeststellungsgesetz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Entscheidung über den Antrag nach § 4 Absatz 1 ergeht durch schriftlichen oder elektronischen Bescheid.</w:t>
      </w:r>
    </w:p>
    <w:p>
      <w:r>
        <w:t xml:space="preserve">(2) Ist der Antrag abzulehnen, weil die Feststellung der Gleichwertigkeit wegen wesentlicher Unterschiede im Sinne des § 4 Absatz 2 nicht erfolgen kann, sind in der Begründung auch die vorhandenen Berufsqualifikationen der Antragstellerin oder des Antragstellers sowie die wesentlichen Unterschiede zwischen den vorhandenen Berufsqualifikationen und der entsprechenden inländischen Berufsbildung darzulegen.</w:t>
      </w:r>
    </w:p>
    <w:p>
      <w:r>
        <w:t xml:space="preserve">(3) Dem Bescheid ist eine Rechtsbehelfsbelehrung beizufügen.</w:t>
      </w:r>
    </w:p>
    <w:p>
      <w:r>
        <w:rPr>
          <w:color w:val="555555"/>
          <w:sz w:val="17"/>
        </w:rPr>
        <w:t xml:space="preserve">Zitiervorschlag: § 7 BQFG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https://recht.nulegal.eu/gesetze/BQFG/7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