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BQFG — Ausschluss abweichenden Landesrechts</w:t>
      </w:r>
    </w:p>
    <w:p>
      <w:r>
        <w:rPr>
          <w:color w:val="555555"/>
          <w:sz w:val="18"/>
        </w:rPr>
        <w:t xml:space="preserve">Berufsqualifikationsfeststellungsgesetz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Von folgenden Regelungen des Verwaltungsverfahrens darf durch Landesrecht nicht abgewichen werden: § 5 Absatz 1, 3 und 4, § 6 Absatz 1 bis 3, 4 und 5, den §§ 7, 10, 12 Absatz 1 und 4, § 13 Absatz 1 Satz 1 und Absatz 2 bis 4, den §§ 14 und 15 Absatz 1 bis 3 Satz 1.</w:t>
      </w:r>
    </w:p>
    <w:p>
      <w:r>
        <w:rPr>
          <w:color w:val="555555"/>
          <w:sz w:val="17"/>
        </w:rPr>
        <w:t xml:space="preserve">Zitiervorschlag: § 19 BQFG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https://recht.nulegal.eu/gesetze/BQFG/19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