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BQFG — Statistik</w:t>
      </w:r>
    </w:p>
    <w:p>
      <w:r>
        <w:rPr>
          <w:color w:val="555555"/>
          <w:sz w:val="18"/>
        </w:rPr>
        <w:t xml:space="preserve">Berufsqualifikationsfeststellungsgesetz</w:t>
      </w:r>
    </w:p>
    <w:p>
      <w:r>
        <w:rPr>
          <w:color w:val="555555"/>
          <w:sz w:val="18"/>
        </w:rPr>
        <w:t xml:space="preserve">Stand: 01.01.2021 (konsolidierte Textfassung, kein amtliches Inkrafttretensdatum)</w:t>
      </w:r>
    </w:p>
    <w:p>
      <w:r>
        <w:t xml:space="preserve">(1) Über die Verfahren zur Feststellung der Gleichwertigkeit nach diesem Gesetz und nach anderen berufsrechtlichen Gesetzen und Verordnungen wird eine Bundesstatistik durchgeführt.</w:t>
      </w:r>
    </w:p>
    <w:p>
      <w:r>
        <w:t xml:space="preserve">(2) Die Statistik erfasst jährlich für das vorausgegangene Kalenderjahr folgende Erhebungsmerkmale:</w:t>
      </w:r>
    </w:p>
    <w:p>
      <w:pPr>
        <w:ind w:left="420"/>
      </w:pPr>
      <w:r>
        <w:t xml:space="preserve">1. Staatsangehörigkeit, Geschlecht, Wohnort des Antragstellers, Datum der Empfangsbestätigung, Datum der Vollständigkeit der vorzulegenden Unterlagen,</w:t>
      </w:r>
    </w:p>
    <w:p>
      <w:pPr>
        <w:ind w:left="420"/>
      </w:pPr>
      <w:r>
        <w:t xml:space="preserve">2. Ausbildungsstaat, deutscher Referenzberuf oder deutsche Referenzausbildung,</w:t>
      </w:r>
    </w:p>
    <w:p>
      <w:pPr>
        <w:ind w:left="420"/>
      </w:pPr>
      <w:r>
        <w:t xml:space="preserve">3. Datum der Entscheidung, Gegenstand und Art der Entscheidung, Besonderheit im Verfahren,</w:t>
      </w:r>
    </w:p>
    <w:p>
      <w:pPr>
        <w:ind w:left="420"/>
      </w:pPr>
      <w:r>
        <w:t xml:space="preserve">4. Meldungen und Entscheidungen betreffend die Dienstleistungsfreiheit nach Artikel 7 Absatz 1 und 4 der Richtlinie 2005/36/EG,</w:t>
      </w:r>
    </w:p>
    <w:p>
      <w:pPr>
        <w:ind w:left="420"/>
      </w:pPr>
      <w:r>
        <w:t xml:space="preserve">5. eingelegte Rechtsbehelfe und Entscheidungen darüber.</w:t>
      </w:r>
    </w:p>
    <w:p>
      <w:r>
        <w:t xml:space="preserve">(3) Hilfsmerkmale sind</w:t>
      </w:r>
    </w:p>
    <w:p>
      <w:pPr>
        <w:ind w:left="420"/>
      </w:pPr>
      <w:r>
        <w:t xml:space="preserve">1. Name und Anschrift der Auskunftspflichtigen,</w:t>
      </w:r>
    </w:p>
    <w:p>
      <w:pPr>
        <w:ind w:left="420"/>
      </w:pPr>
      <w:r>
        <w:t xml:space="preserve">2. Name und Telefonnummer sowie Adresse für elektronische Post der für Rückfragen zur Verfügung stehenden Person,</w:t>
      </w:r>
    </w:p>
    <w:p>
      <w:pPr>
        <w:ind w:left="420"/>
      </w:pPr>
      <w:r>
        <w:t xml:space="preserve">3. Datensatznummer.</w:t>
      </w:r>
    </w:p>
    <w:p>
      <w:r>
        <w:t xml:space="preserve">(4) Für die Erhebung besteht Auskunftspflicht. Die Angaben nach Absatz 3 Nummer 2 sind freiwillig. Auskunftspflichtig sind die nach diesem Gesetz und nach anderen berufsrechtlichen Gesetzen und Verordnungen für die Verfahren zur Feststellung der Gleichwertigkeit zuständigen Stellen.</w:t>
      </w:r>
    </w:p>
    <w:p>
      <w:r>
        <w:t xml:space="preserve">(5) Die Angaben sind elektronisch an die statistischen Ämter der Länder zu übermitteln.</w:t>
      </w:r>
    </w:p>
    <w:p>
      <w:r>
        <w:t xml:space="preserve">(6) Die Bundesregierung wird ermächtigt, durch Rechtsverordnung mit Zustimmung des Bundesrates</w:t>
      </w:r>
    </w:p>
    <w:p>
      <w:pPr>
        <w:ind w:left="420"/>
      </w:pPr>
      <w:r>
        <w:t xml:space="preserve">1. die Erhebung einzelner Merkmale auszusetzen, die Periodizität zu verlängern sowie den Kreis der zu Befragenden einzuschränken, wenn die Ergebnisse nicht mehr oder nicht mehr in der ursprünglich vorgesehenen Ausführlichkeit oder Häufigkeit benötigt werden;</w:t>
      </w:r>
    </w:p>
    <w:p>
      <w:pPr>
        <w:ind w:left="420"/>
      </w:pPr>
      <w:r>
        <w:t xml:space="preserve">2. einzelne neue Merkmale einzuführen, wenn dies zur Deckung eines geänderten Bedarfs für den in § 1 genannten Zweck erforderlich ist und durch gleichzeitige Aussetzung anderer Merkmale eine Erweiterung des Erhebungsumfangs vermieden wird; nicht eingeführt werden können Merkmale, die besondere Kategorien personenbezogener Daten nach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betreffen;</w:t>
      </w:r>
    </w:p>
    <w:p>
      <w:pPr>
        <w:ind w:left="420"/>
      </w:pPr>
      <w:r>
        <w:t xml:space="preserve">3. die Erhebung von Merkmalen anzuordnen, soweit dies zur Umsetzung oder Durchführung von Rechtsakten der Europäischen Gemeinschaft erforderlich ist.</w:t>
      </w:r>
    </w:p>
    <w:p>
      <w:r>
        <w:t xml:space="preserve">(7) Zur kontinuierlichen Beobachtung der Verfahren zur Feststellung der Gleichwertigkeit nach diesem Gesetz und nach anderen berufsrechtlichen Gesetzen und Verordnungen sind die von den statistischen Ämtern der Länder und dem Statistischen Bundesamt nach Absatz 2 und nach Rechtsverordnungen gemäß Absatz 6 erhobenen Angaben nach Abschluss der Datenprüfungen als Summendatensätze an das Bundesinstitut für Berufsbildung zu übermitteln. Das umfasst diejenigen Angaben, die seit dem Inkrafttreten dieses Gesetzes erhoben wurden. Für die Übermittlung findet § 88 Absatz 4 Satz 2 bis 6 des Berufsbildungsgesetzes entsprechend Anwendung.</w:t>
      </w:r>
    </w:p>
    <w:p>
      <w:r>
        <w:rPr>
          <w:color w:val="555555"/>
          <w:sz w:val="17"/>
        </w:rPr>
        <w:t xml:space="preserve">Zitiervorschlag: § 17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