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BQFG — Sonstige Verfahren zur Feststellung der Gleichwertigkeit bei fehlenden Nachweisen</w:t>
      </w:r>
    </w:p>
    <w:p>
      <w:r>
        <w:rPr>
          <w:color w:val="555555"/>
          <w:sz w:val="18"/>
        </w:rPr>
        <w:t xml:space="preserve">Berufsqualifikationsfeststellungsgesetz</w:t>
      </w:r>
    </w:p>
    <w:p>
      <w:r>
        <w:rPr>
          <w:color w:val="555555"/>
          <w:sz w:val="18"/>
        </w:rPr>
        <w:t xml:space="preserve">Stand: 10.06.2019 (konsolidierte Textfassung, kein amtliches Inkrafttretensdatum)</w:t>
      </w:r>
    </w:p>
    <w:p>
      <w:r>
        <w:t xml:space="preserve">(1) Kann die Antragstellerin oder der Antragsteller die für die Feststellung oder Bewertung der Gleichwertigkeit erforderlichen Nachweise nach § 5 Absatz 1, 4 und 5 oder § 12 Absatz 1, 4 und 5 aus nicht selbst zu vertretenden Gründen nicht oder nur teilweise vorlegen oder ist die Vorlage der entsprechenden Unterlagen mit einem unangemessenen zeitlichen und sachlichen Aufwand verbunden, stellt die zuständige Stelle die für einen Vergleich mit der entsprechenden inländischen Berufsbildung maßgeblichen beruflichen Fertigkeiten, Kenntnisse und Fähigkeiten der Antragstellerin oder des Antragstellers durch sonstige geeignete Verfahren fest. Die Antragstellerin oder der Antragsteller hat die Gründe glaubhaft zu machen, die einer Vorlage der entsprechenden Unterlagen entgegenstehen. Die zuständige Stelle ist befugt, eine Versicherung an Eides statt zu verlangen und abzunehmen.</w:t>
      </w:r>
    </w:p>
    <w:p>
      <w:r>
        <w:t xml:space="preserve">(2) Sonstige geeignete Verfahren zur Ermittlung der beruflichen Fertigkeiten, Kenntnisse und Fähigkeiten im Sinne des Absatzes 1 sind insbesondere Arbeitsproben, Fachgespräche, praktische und theoretische Prüfungen sowie Gutachten von Sachverständigen.</w:t>
      </w:r>
    </w:p>
    <w:p>
      <w:r>
        <w:t xml:space="preserve">(3) Die Feststellung oder Bewertung der Gleichwertigkeit nach den § 4 oder 9 erfolgt auf der Grundlage der Ergebnisse der in Absätzen 1 und 2 vorgesehenen sonstigen Verfahren.</w:t>
      </w:r>
    </w:p>
    <w:p>
      <w:r>
        <w:rPr>
          <w:color w:val="555555"/>
          <w:sz w:val="17"/>
        </w:rPr>
        <w:t xml:space="preserve">Zitiervorschlag: § 14 BQFG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https://recht.nulegal.eu/gesetze/BQFG/14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