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BQFG — Ausgleichsmaßnahmen</w:t>
      </w:r>
    </w:p>
    <w:p>
      <w:r>
        <w:rPr>
          <w:color w:val="555555"/>
          <w:sz w:val="18"/>
        </w:rPr>
        <w:t xml:space="preserve">Berufsqualifikationsfeststellungsgesetz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Wesentliche Unterschiede im Sinne des § 9 Absatz 2 können durch die Absolvierung eines höchstens dreijährigen Anpassungslehrgangs, der Gegenstand einer Bewertung sein kann, oder das Ablegen einer Eignungsprüfung im Inland ausgeglichen werden.</w:t>
      </w:r>
    </w:p>
    <w:p>
      <w:r>
        <w:t xml:space="preserve">(2) Bei der Ausgestaltung der Ausgleichsmaßnahmen im Sinne des Absatzes 1 sind die vorhandenen Berufsqualifikationen der Antragstellerin oder des Antragstellers zu berücksichtigen. Der Inhalt der Ausgleichsmaßnahmen ist auf die festgestellten wesentlichen Unterschiede im Sinne des § 9 Absatz 2 zu beschränken.</w:t>
      </w:r>
    </w:p>
    <w:p>
      <w:r>
        <w:t xml:space="preserve">(3) Die Antragstellerin oder der Antragsteller hat die Wahl zwischen der Absolvierung eines Anpassungslehrgangs und dem Ablegen einer Eignungsprüfung, sofern die entsprechenden berufsrechtlichen Regelungen nichts anderes bestimmen.</w:t>
      </w:r>
    </w:p>
    <w:p>
      <w:r>
        <w:t xml:space="preserve">(4) Hat sich die Antragstellerin oder der Antragsteller für eine Eignungsprüfung nach Absatz 3 entschieden, muss diese innerhalb von sechs Monaten abgelegt werden können. Legt auf Grund entsprechender berufsrechtlicher Regelungen im Sinne des Absatzes 3 die zuständige Stelle fest, dass eine Eignungsprüfung zu absolvieren ist, so muss diese innerhalb von sechs Monaten ab dem Zugang dieser Entscheidung abgelegt werden können.</w:t>
      </w:r>
    </w:p>
    <w:p>
      <w:r>
        <w:rPr>
          <w:color w:val="555555"/>
          <w:sz w:val="17"/>
        </w:rPr>
        <w:t xml:space="preserve">Zitiervorschlag: § 11 BQFG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https://recht.nulegal.eu/gesetze/BQFG/11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