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BQFG — Zweck des Gesetzes</w:t>
      </w:r>
    </w:p>
    <w:p>
      <w:r>
        <w:rPr>
          <w:color w:val="555555"/>
          <w:sz w:val="18"/>
        </w:rPr>
        <w:t xml:space="preserve">Berufsqualifikationsfeststellungsgesetz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dient der besseren Nutzung von im Ausland erworbenen Berufsqualifikationen für den deutschen Arbeitsmarkt, um eine qualifikationsnahe Beschäftigung zu ermöglichen.</w:t>
      </w:r>
    </w:p>
    <w:p>
      <w:r>
        <w:rPr>
          <w:color w:val="555555"/>
          <w:sz w:val="17"/>
        </w:rPr>
        <w:t xml:space="preserve">Zitiervorschlag: § 1 BQFG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https://recht.nulegal.eu/gesetze/BQFG/1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