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BPrDGrUnifAnO</w:t>
      </w:r>
    </w:p>
    <w:p>
      <w:r>
        <w:rPr>
          <w:color w:val="555555"/>
          <w:sz w:val="18"/>
        </w:rPr>
        <w:t xml:space="preserve">Anordnung des Bundespräsidenten über die Dienstgradbezeichnungen und die Uniform der Soldatinnen und Soldaten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Nach § 4 Absatz 3 des Soldatengesetzes, der durch Artikel 3 Nummer 1 des Gesetzes vom 8. Juni 2017 (BGBl. I S. 1570) geändert worden ist, ordne ich an:</w:t>
      </w:r>
    </w:p>
    <w:p>
      <w:r>
        <w:rPr>
          <w:color w:val="555555"/>
          <w:sz w:val="17"/>
        </w:rPr>
        <w:t xml:space="preserve">Zitiervorschlag: Eingangsformel BPrDGrUnifAnO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https://recht.nulegal.eu/gesetze/BPrDGrUnifAnO/eingangsformel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