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BPrDGrUnifAnO — Allgemeine Kennzeichen</w:t>
      </w:r>
    </w:p>
    <w:p>
      <w:r>
        <w:rPr>
          <w:color w:val="555555"/>
          <w:sz w:val="18"/>
        </w:rPr>
        <w:t xml:space="preserve">Anordnung des Bundespräsidenten über die Dienstgradbezeichnungen und die Uniform der Soldatinnen und Soldaten</w:t>
      </w:r>
    </w:p>
    <w:p>
      <w:r>
        <w:rPr>
          <w:color w:val="555555"/>
          <w:sz w:val="18"/>
        </w:rPr>
        <w:t xml:space="preserve">Stand: 15.09.2021 (konsolidierte Textfassung, kein amtliches Inkrafttretensdatum)</w:t>
      </w:r>
    </w:p>
    <w:p>
      <w:r>
        <w:t xml:space="preserve">(1) Am Anzug werden die folgenden allgemeinen Kennzeichen getragen:</w:t>
      </w:r>
    </w:p>
    <w:p>
      <w:pPr>
        <w:ind w:left="420"/>
      </w:pPr>
      <w:r>
        <w:t xml:space="preserve">1. als nationales Kennzeichen</w:t>
      </w:r>
    </w:p>
    <w:p>
      <w:pPr>
        <w:ind w:left="780"/>
      </w:pPr>
      <w:r>
        <w:t xml:space="preserve">a) am Barett: am unteren Rand des Barettabzeichens eine stilisierte Bundesflagge; Ausnahmen bei Angehörigen multinationaler Verbände bedürfen meiner Zustimmung,</w:t>
      </w:r>
    </w:p>
    <w:p>
      <w:pPr>
        <w:ind w:left="780"/>
      </w:pPr>
      <w:r>
        <w:t xml:space="preserve">b) an anderen Kopfbedeckungen: eine Kokarde in den Bundesfarben,</w:t>
      </w:r>
    </w:p>
    <w:p>
      <w:pPr>
        <w:ind w:left="780"/>
      </w:pPr>
      <w:r>
        <w:t xml:space="preserve">c) am Kampfanzug: ein Ärmelabzeichen in den Bundesfarben;</w:t>
      </w:r>
    </w:p>
    <w:p>
      <w:pPr>
        <w:ind w:left="420"/>
      </w:pPr>
      <w:r>
        <w:t xml:space="preserve">2. als Mützenabzeichen</w:t>
      </w:r>
    </w:p>
    <w:p>
      <w:pPr>
        <w:ind w:left="780"/>
      </w:pPr>
      <w:r>
        <w:t xml:space="preserve">a) beim Heer: an der Schirmmütze und an der Bergmütze zwei gekreuzte Säbel,</w:t>
      </w:r>
    </w:p>
    <w:p>
      <w:pPr>
        <w:ind w:left="780"/>
      </w:pPr>
      <w:r>
        <w:t xml:space="preserve">b) bei der Luftwaffe: an der Schirmmütze eine Schwinge,</w:t>
      </w:r>
    </w:p>
    <w:p>
      <w:pPr>
        <w:ind w:left="780"/>
      </w:pPr>
      <w:r>
        <w:t xml:space="preserve">c) bei der Marine: an der Schirmmütze ein Anker;</w:t>
      </w:r>
    </w:p>
    <w:p>
      <w:pPr>
        <w:ind w:left="420"/>
      </w:pPr>
      <w:r>
        <w:t xml:space="preserve">Offizierinnen und Offiziere sowie Oberfähnriche tragen zusätzlich eine Stickerei auf dem Mützenschirm;</w:t>
      </w:r>
    </w:p>
    <w:p>
      <w:pPr>
        <w:ind w:left="420"/>
      </w:pPr>
      <w:r>
        <w:t xml:space="preserve">3. als Barettabzeichen das Abzeichen der Truppengattung oder des Großverbands.</w:t>
      </w:r>
    </w:p>
    <w:p>
      <w:r>
        <w:t xml:space="preserve">(2) Generale tragen eine Goldstickerei auf roten Kragenspiegeln.</w:t>
      </w:r>
    </w:p>
    <w:p>
      <w:r>
        <w:rPr>
          <w:color w:val="555555"/>
          <w:sz w:val="17"/>
        </w:rPr>
        <w:t xml:space="preserve">Zitiervorschlag: § 4 BPrDGrUnifAnO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https://recht.nulegal.eu/gesetze/BPrDGrUnifAnO/4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