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BPrDGrUnifAnO — Uniform</w:t>
      </w:r>
    </w:p>
    <w:p>
      <w:r>
        <w:rPr>
          <w:color w:val="555555"/>
          <w:sz w:val="18"/>
        </w:rPr>
        <w:t xml:space="preserve">Anordnung des Bundespräsidenten über die Dienstgradbezeichnungen und die Uniform der Soldatinnen und Soldaten</w:t>
      </w:r>
    </w:p>
    <w:p>
      <w:r>
        <w:rPr>
          <w:color w:val="555555"/>
          <w:sz w:val="18"/>
        </w:rPr>
        <w:t xml:space="preserve">Stand: 15.09.2021 (konsolidierte Textfassung, kein amtliches Inkrafttretensdatum)</w:t>
      </w:r>
    </w:p>
    <w:p>
      <w:r>
        <w:t xml:space="preserve">Die Soldatinnen und Soldaten tragen</w:t>
      </w:r>
    </w:p>
    <w:p>
      <w:pPr>
        <w:ind w:left="420"/>
      </w:pPr>
      <w:r>
        <w:t xml:space="preserve">1. die Anzugarten nach § 3,</w:t>
      </w:r>
    </w:p>
    <w:p>
      <w:pPr>
        <w:ind w:left="420"/>
      </w:pPr>
      <w:r>
        <w:t xml:space="preserve">2. die allgemeinen Kennzeichen nach § 4,</w:t>
      </w:r>
    </w:p>
    <w:p>
      <w:pPr>
        <w:ind w:left="420"/>
      </w:pPr>
      <w:r>
        <w:t xml:space="preserve">3. die Dienstgradabzeichen nach § 5.</w:t>
      </w:r>
    </w:p>
    <w:p>
      <w:r>
        <w:rPr>
          <w:color w:val="555555"/>
          <w:sz w:val="17"/>
        </w:rPr>
        <w:t xml:space="preserve">Zitiervorschlag: § 2 BPrDGrUnifAnO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https://recht.nulegal.eu/gesetze/BPrDGrUnifAnO/2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