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BPräsWahlG</w:t>
      </w:r>
    </w:p>
    <w:p>
      <w:r>
        <w:rPr>
          <w:color w:val="555555"/>
          <w:sz w:val="18"/>
        </w:rPr>
        <w:t xml:space="preserve">Gesetz über die Wahl des Bundespräsidenten durch die Bundesversammlung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des Bundestages leitet die Sitzungen und Geschäfte der Bundesversammlung. Auf ihren Geschäftsgang findet die Geschäftsordnung des Bundestages sinngemäße Anwendung, sofern sich nicht die Bundesversammlung eine eigene Geschäftsordnung gibt.</w:t>
      </w:r>
    </w:p>
    <w:p>
      <w:r>
        <w:rPr>
          <w:color w:val="555555"/>
          <w:sz w:val="17"/>
        </w:rPr>
        <w:t xml:space="preserve">Zitiervorschlag: § 8 BPräsWahlG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https://recht.nulegal.eu/gesetze/BPr%C3%A4sWahlG/8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