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BPräsUnifAnO</w:t>
      </w:r>
    </w:p>
    <w:p>
      <w:r>
        <w:rPr>
          <w:color w:val="555555"/>
          <w:sz w:val="18"/>
        </w:rPr>
        <w:t xml:space="preserve">Anordnung des Bundespräsidenten über die Dienstgradbezeichnungen und die Uniform der Soldaten</w:t>
      </w:r>
    </w:p>
    <w:p>
      <w:r>
        <w:rPr>
          <w:color w:val="555555"/>
          <w:sz w:val="18"/>
        </w:rPr>
        <w:t xml:space="preserve">Historische Fassung: Stand 10.06.2019 bis 23.06.2022. Dies ist nicht die aktuelle Fassung.</w:t>
      </w:r>
    </w:p>
    <w:p>
      <w:r>
        <w:t xml:space="preserve">Auf Grund des § 4 Abs. 3 des Soldatengesetzes in der Fassung der Bekanntmachung vom 19. August 1975 (BGBl. I S. 2273) ordne ich an:</w:t>
      </w:r>
    </w:p>
    <w:p>
      <w:r>
        <w:rPr>
          <w:color w:val="555555"/>
          <w:sz w:val="17"/>
        </w:rPr>
        <w:t xml:space="preserve">Zitiervorschlag: Eingangsformel BPräsUnifAnO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https://recht.nulegal.eu/gesetze/BPr%C3%A4sUnifAnO/eingangsformel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