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BPräsTHHStiftG — Stiftungsvermögen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Zwecke der Stiftung erwirbt.</w:t>
      </w:r>
    </w:p>
    <w:p>
      <w:r>
        <w:t xml:space="preserve">(2) Die Stiftung ist berechtigt, Zuwendungen von dritter Seite anzunehmen.</w:t>
      </w:r>
    </w:p>
    <w:p>
      <w:r>
        <w:t xml:space="preserve">(3) Zur Erfüllung des Stiftungszweckes (§ 2 Abs. 1) erhält die Stiftung einen jährlichen Zuschuß des Bundes nach Maßgabe des jeweiligen Bundeshaushaltes.</w:t>
      </w:r>
    </w:p>
    <w:p>
      <w:r>
        <w:t xml:space="preserve">(4) Erträgnisse des Stiftungsvermögens und sonstige Einnahmen sind nur im Sinne des Stiftungszweckes zu verwenden.</w:t>
      </w:r>
    </w:p>
    <w:p>
      <w:r>
        <w:rPr>
          <w:color w:val="555555"/>
          <w:sz w:val="17"/>
        </w:rPr>
        <w:t xml:space="preserve">Zitiervorschlag: § 3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