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BPräsTHHStiftG — Übernahme von Rechten und Pflichten</w:t>
      </w:r>
    </w:p>
    <w:p>
      <w:r>
        <w:rPr>
          <w:color w:val="555555"/>
          <w:sz w:val="18"/>
        </w:rPr>
        <w:t xml:space="preserve">Gesetz über die Errichtung einer Stiftung Bundespräsident-Theodor-Heuss-Haus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Mit ihrem Entstehen übernimmt die "Stiftung Bundespräsident-Theodor-Heuss-Haus" die Rechte und Pflichten, welche für die Bundesrepublik Deutschland durch den mit den Erben Theodor Heuss geschlossenen Vertrag vom 29./30. Juni 1971 begründet worden sind. Damit soll der im Besitz der Archive vorhandene Nachlaß als Dauerleihgabe zur Verfügung gestellt werden.</w:t>
      </w:r>
    </w:p>
    <w:p>
      <w:r>
        <w:rPr>
          <w:color w:val="555555"/>
          <w:sz w:val="17"/>
        </w:rPr>
        <w:t xml:space="preserve">Zitiervorschlag: § 13 BPräsTHHStiftG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https://recht.nulegal.eu/gesetze/BPr%C3%A4sTHHStiftG/13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