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II. BPräsKldgBGSAuslAnO</w:t>
      </w:r>
    </w:p>
    <w:p>
      <w:r>
        <w:rPr>
          <w:color w:val="555555"/>
          <w:sz w:val="18"/>
        </w:rPr>
        <w:t xml:space="preserve">Anordnung des Bundespräsidenten über die Dienstkleidung der bei den deutschen Auslandsvertretungen für den Geheim-, Haus- und Objektschutz eingesetzten Polizeivollzugsbeamten im BGS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des Auswärtigen wird ermächtigt, Ausführungsbestimmungen zu dieser Anordnung zu erlassen.</w:t>
      </w:r>
    </w:p>
    <w:p>
      <w:r>
        <w:rPr>
          <w:color w:val="555555"/>
          <w:sz w:val="17"/>
        </w:rPr>
        <w:t xml:space="preserve">Zitiervorschlag: II. BPräsKldgBGSAuslAnO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https://recht.nulegal.eu/gesetze/BPr%C3%A4sKldgBGSAuslAnO/ii.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II. BPräsKldgBGSAuslAnO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