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BPolHfV</w:t>
      </w:r>
    </w:p>
    <w:p>
      <w:r>
        <w:rPr>
          <w:color w:val="555555"/>
          <w:sz w:val="18"/>
        </w:rPr>
        <w:t xml:space="preserve">Bundespolizei-Heilfürsorgeverordnung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70 Absatz 2 Satz 3 des Bundesbesoldungsgesetzes, der durch Artikel 1 Nummer 31 des Gesetzes vom 11. Juni 2013 (BGBl. I S. 1514) eingefügt worden ist, verordnet das Bundesministerium des Innern im Einvernehmen mit dem Bundesministerium der Finanzen:</w:t>
      </w:r>
    </w:p>
    <w:p>
      <w:r>
        <w:rPr>
          <w:color w:val="555555"/>
          <w:sz w:val="17"/>
        </w:rPr>
        <w:t xml:space="preserve">Zitiervorschlag: Eingangsformel BPolHfV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https://recht.nulegal.eu/gesetze/BPolHfV/eingangsformel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