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BPolHfV — Zahnärztliche Behandlung</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Heilfürsorgeberechtigte haben Anspruch auf die Übernahme der tatsächlichen Kosten einer Regelversorgung mit Zahnersatz, einschließlich Zahnkronen und Suprakonstruktionen, entsprechend den §§ 55 und 56 Absatz 1 des Fünften Buches Sozialgesetzbuch in Verbindung mit der Zahnersatz-Richtlinie des Gemeinsamen Bundesausschusses in der jeweils geltenden und nach § 94 Absatz 2 des Fünften Buches Sozialgesetzbuch im Bundesanzeiger bekannt gemachten Fassung. Wählt die oder der Heilfürsorgeberechtigte einen über die Regelversorgung hinausgehenden gleich- oder andersartigen Zahnersatz, wird höchstens ein hundertprozentiger Festzuschuss entsprechend § 55 Absatz 1 Satz 2 des Fünften Buches Sozialgesetzbuch gewährt.</w:t>
      </w:r>
    </w:p>
    <w:p>
      <w:r>
        <w:t xml:space="preserve">(2) Die Anfertigung von Zahnersatz (einschließlich Zahnkronen und Suprakonstruktionen), die systematische Behandlung von Parodontopathien und kieferorthopädische Behandlungen bedürfen der vorherigen Genehmigung durch das für Heilfürsorgeangelegenheiten zuständige Referat des Bundespolizeipräsidiums. Bei Zweifeln an der Notwendigkeit, Zweckmäßigkeit oder wirtschaftlichen Angemessenheit kann das für Heilfürsorgeangelegenheiten zuständige Referat des Bundespolizeipräsidiums den Heil- und Kostenplan durch einen Gutachter überprüfen lassen. Wird ein genehmigter Heil- und Kostenplan geändert, bedarf auch die Änderung der Genehmigung. Das Genehmigungsverfahren sowie das Gutachter- und Obergutachterverfahren, einschließlich der zu verwendenden Vordrucke, richten sich nach dem Ersatzkassenvertrag-Zahnärzte vom 1. Januar 2005 in der jeweils jüngsten auf der Internetseite des Spitzenverbandes Bund der Krankenkassen (www.gkv-spitzenverband.de) veröffentlichten Fassung.</w:t>
      </w:r>
    </w:p>
    <w:p>
      <w:r>
        <w:t xml:space="preserve">(3) Die Kosten einer einmal jährlich durchgeführten professionellen Zahnreinigung nach Nummer 1040 der Anlage zur Gebührenordnung für Zahnärzte werden übernommen.</w:t>
      </w:r>
    </w:p>
    <w:p>
      <w:r>
        <w:t xml:space="preserve">(4) Medizinisch notwendige Aufwendungen für zahnimplantologische Leistungen werden entsprechend § 15 der Bundesbeihilfeverordnung in Höhe von 50 Prozent übernommen.</w:t>
      </w:r>
    </w:p>
    <w:p>
      <w:r>
        <w:rPr>
          <w:color w:val="555555"/>
          <w:sz w:val="17"/>
        </w:rPr>
        <w:t xml:space="preserve">Zitiervorschlag: § 6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