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BPolHfV — Heilfürsorgekarte</w:t>
      </w:r>
    </w:p>
    <w:p>
      <w:r>
        <w:rPr>
          <w:color w:val="555555"/>
          <w:sz w:val="18"/>
        </w:rPr>
        <w:t xml:space="preserve">Bundespolizei-Heilfürsorgeverordnung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(1) Alle Heilfürsorgeberechtigten erhalten eine Heilfürsorgekarte in Form einer elektronischen Gesundheitskarte, die für alle Heilfürsorgeleistungen nach § 4 Absatz 1 gilt.</w:t>
      </w:r>
    </w:p>
    <w:p>
      <w:r>
        <w:t xml:space="preserve">(2) Die Heilfürsorgeberechtigten haben der behandelnden Vertragsärztin oder Vertragszahnärztin oder dem behandelnden Vertragsarzt oder Vertragszahnarzt die Heilfürsorgekarte vor der Behandlung vorzulegen.</w:t>
      </w:r>
    </w:p>
    <w:p>
      <w:r>
        <w:rPr>
          <w:color w:val="555555"/>
          <w:sz w:val="17"/>
        </w:rPr>
        <w:t xml:space="preserve">Zitiervorschlag: § 3 BPolHfV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https://recht.nulegal.eu/gesetze/BPolHfV/3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