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BPolHfV — Inkrafttreten, Außerkrafttreten</w:t>
      </w:r>
    </w:p>
    <w:p>
      <w:r>
        <w:rPr>
          <w:color w:val="555555"/>
          <w:sz w:val="18"/>
        </w:rPr>
        <w:t xml:space="preserve">Bundespolizei-Heilfürsorgeverordnung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Diese Verordnung tritt am 1. Juli 2014 in Kraft.</w:t>
      </w:r>
    </w:p>
    <w:p>
      <w:r>
        <w:t xml:space="preserve">(2) Gleichzeitig treten die Heilfürsorgevorschriften für die Bundespolizei vom 6. November 2005 (GMBl S. 1228) außer Kraft.</w:t>
      </w:r>
    </w:p>
    <w:p>
      <w:r>
        <w:rPr>
          <w:color w:val="555555"/>
          <w:sz w:val="17"/>
        </w:rPr>
        <w:t xml:space="preserve">Zitiervorschlag: § 20 BPolHfV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https://recht.nulegal.eu/gesetze/BPolHfV/20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