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 BPolHfV — Sachleistungsprinzip</w:t>
      </w:r>
    </w:p>
    <w:p>
      <w:r>
        <w:rPr>
          <w:color w:val="555555"/>
          <w:sz w:val="18"/>
        </w:rPr>
        <w:t xml:space="preserve">Bundespolizei-Heilfürsorgeverordnung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 Heilfürsorge wird grundsätzlich als Sachleistung gewährt. Für Zuzahlungen und Belastungsgrenzen gelten die Regelungen des Fünften Buches Sozialgesetzbuch entsprechend.</w:t>
      </w:r>
    </w:p>
    <w:p>
      <w:r>
        <w:rPr>
          <w:color w:val="555555"/>
          <w:sz w:val="17"/>
        </w:rPr>
        <w:t xml:space="preserve">Zitiervorschlag: § 2 BPolHfV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https://recht.nulegal.eu/gesetze/BPolHfV/2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