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BPolHfV — Übergangsvorschrift</w:t>
      </w:r>
    </w:p>
    <w:p>
      <w:r>
        <w:rPr>
          <w:color w:val="555555"/>
          <w:sz w:val="18"/>
        </w:rPr>
        <w:t xml:space="preserve">Bundespolizei-Heilfürsorgeverordnung</w:t>
      </w:r>
    </w:p>
    <w:p>
      <w:r>
        <w:rPr>
          <w:color w:val="555555"/>
          <w:sz w:val="18"/>
        </w:rPr>
        <w:t xml:space="preserve">Stand: 01.11.2025 (konsolidierte Textfassung, kein amtliches Inkrafttretensdatum)</w:t>
      </w:r>
    </w:p>
    <w:p>
      <w:r>
        <w:t xml:space="preserve">(1) § 6 Absatz 4 ist anwendbar auf Behandlungen, die nach Ablauf des 31. Oktober 2025 begonnen wurden. Der Beginn einer Behandlung in diesem Sinne ist die Erbringung der ersten kostenauslösenden Behandlungsleistung. Im Einzelfall kann die Erstattung trotz einer bereits vor dem 1. April 2025 begonnenen Behandlung nach § 6 Absatz 4 erfolgen, wenn die bereits erbrachten Leistungen im Verhältnis zur Gesamtbehandlung als geringfügig zu bewerten sind.</w:t>
      </w:r>
    </w:p>
    <w:p>
      <w:r>
        <w:t xml:space="preserve">(2) Im Übrigen ist die ab dem 1. November 2025 geltende Fassung dieser Verordnung auf Leistungen anwendbar, die ab dem 1. November 2025 erbracht werden. Maßgebend hierfür ist die erste kostenauslösende Behandlungsleistung oder, sofern keine Behandlungsleistung erbracht wird, die erste kostenauslösende Tätigkeit eines Leistungserbringers.</w:t>
      </w:r>
    </w:p>
    <w:p>
      <w:r>
        <w:rPr>
          <w:color w:val="555555"/>
          <w:sz w:val="17"/>
        </w:rPr>
        <w:t xml:space="preserve">Zitiervorschlag: § 18 BPolHfV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https://recht.nulegal.eu/gesetze/BPolHfV/18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