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BPjMGebO</w:t>
      </w:r>
    </w:p>
    <w:p>
      <w:r>
        <w:rPr>
          <w:color w:val="555555"/>
          <w:sz w:val="18"/>
        </w:rPr>
        <w:t xml:space="preserve">Verordnung über die Erhebung von Gebühren durch die Bundesprüfstelle für jugendgefährdende Medien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21 Abs. 10 Satz 2 des Jugendschutzgesetzes vom 23. Juli 2002 (BGBl. I S. 2730, 2003 I S. 476), der durch Artikel 3 des Gesetzes vom 29. Dezember 2003 (BGBl. I S. 3076) geändert worden ist, in Verbindung mit dem 2. Abschnitt des Verwaltungskostengesetzes vom 23. Juni 1970 (BGBl. I S. 821), zuletzt geändert durch Artikel 4 des Gesetzes vom 5. Oktober 1994 (BGBl. I S. 2911),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BPjMGebO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https://recht.nulegal.eu/gesetze/BPjMGebO/eingangsformel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