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BPflZV</w:t>
      </w:r>
    </w:p>
    <w:p>
      <w:r>
        <w:rPr>
          <w:color w:val="555555"/>
          <w:sz w:val="18"/>
        </w:rPr>
        <w:t xml:space="preserve">Pflegezeitvorschussverordnung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7 Absatz 2 des Bundesbesoldungsgesetzes, der durch Artikel 2 Nummer 2 des Gesetzes vom 3. Juli 2013 (BGBl. I S. 1978) eingefügt worden ist, verordnet die Bundesregierung:</w:t>
      </w:r>
    </w:p>
    <w:p>
      <w:r>
        <w:rPr>
          <w:color w:val="555555"/>
          <w:sz w:val="17"/>
        </w:rPr>
        <w:t xml:space="preserve">Zitiervorschlag: Eingangsformel BPflZV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https://recht.nulegal.eu/gesetze/BPflZV/eingangsformel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