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BPflZV — Verrechnung</w:t>
      </w:r>
    </w:p>
    <w:p>
      <w:r>
        <w:rPr>
          <w:color w:val="555555"/>
          <w:sz w:val="18"/>
        </w:rPr>
        <w:t xml:space="preserve">Pflegezeitvorschussverordnung</w:t>
      </w:r>
    </w:p>
    <w:p>
      <w:r>
        <w:rPr>
          <w:color w:val="555555"/>
          <w:sz w:val="18"/>
        </w:rPr>
        <w:t xml:space="preserve">Stand: 10.06.2019 (konsolidierte Textfassung, kein amtliches Inkrafttretensdatum)</w:t>
      </w:r>
    </w:p>
    <w:p>
      <w:r>
        <w:t xml:space="preserve">(1) Der Vorschuss ist mit Beginn des Monats, der auf die Beendigung der Familienpflegezeit oder Pflegezeit folgt, mit den laufenden Dienst- oder Versorgungsbezügen zu verrechnen. Der Vorschuss wird in gleichen Monatsbeiträgen verrechnet. Der Zeitraum der Verrechnung entspricht dem Zeitraum der Familienpflegezeit oder Pflegezeit. Der Vorschuss wird auch dann verrechnet, wenn die Bewilligung der Familienpflegezeit oder Pflegezeit widerrufen wird. Der Vorschuss ist auch bei Versetzung in den Ruhestand zu verrechnen.</w:t>
      </w:r>
    </w:p>
    <w:p>
      <w:r>
        <w:t xml:space="preserve">(2) Die Verrechnung endet am Vortag des Monats, in dem die Beamtin oder der Beamte stirbt oder wegen Dienstunfähigkeit in den Ruhestand versetzt wird (§§ 44 und 49 des Bundesbeamtengesetzes). Die Verrechnung beginnt wieder, wenn die Beamtin oder der Beamte erneut in das Beamtenverhältnis berufen wird (§ 46 des Bundesbeamtengesetzes).</w:t>
      </w:r>
    </w:p>
    <w:p>
      <w:r>
        <w:rPr>
          <w:color w:val="555555"/>
          <w:sz w:val="17"/>
        </w:rPr>
        <w:t xml:space="preserve">Zitiervorschlag: § 2 BPflZV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https://recht.nulegal.eu/gesetze/BPflZV/2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